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A6" w:rsidRDefault="007C38F2" w:rsidP="007C38F2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Hesperia</w:t>
      </w:r>
    </w:p>
    <w:p w:rsidR="007C38F2" w:rsidRDefault="007C38F2" w:rsidP="007C38F2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2016 4</w:t>
      </w:r>
      <w:r w:rsidRPr="007C38F2">
        <w:rPr>
          <w:rFonts w:ascii="Californian FB" w:hAnsi="Californian FB"/>
          <w:sz w:val="40"/>
          <w:szCs w:val="40"/>
          <w:vertAlign w:val="superscript"/>
        </w:rPr>
        <w:t>th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7C38F2" w:rsidRPr="007C38F2" w:rsidRDefault="007C38F2" w:rsidP="007C38F2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6461B1B" wp14:editId="299FCC20">
            <wp:extent cx="8982075" cy="58674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C38F2" w:rsidRPr="007C38F2" w:rsidSect="007C38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2"/>
    <w:rsid w:val="007C38F2"/>
    <w:rsid w:val="008772D3"/>
    <w:rsid w:val="00BC03A9"/>
    <w:rsid w:val="00F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218ED-E850-4726-9B80-FBB43DF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287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7</c:v>
                </c:pt>
                <c:pt idx="1">
                  <c:v>16</c:v>
                </c:pt>
                <c:pt idx="2">
                  <c:v>29</c:v>
                </c:pt>
                <c:pt idx="3">
                  <c:v>41</c:v>
                </c:pt>
                <c:pt idx="4">
                  <c:v>45</c:v>
                </c:pt>
                <c:pt idx="5">
                  <c:v>66</c:v>
                </c:pt>
                <c:pt idx="6">
                  <c:v>34</c:v>
                </c:pt>
                <c:pt idx="7">
                  <c:v>25</c:v>
                </c:pt>
                <c:pt idx="8">
                  <c:v>13</c:v>
                </c:pt>
                <c:pt idx="9">
                  <c:v>3</c:v>
                </c:pt>
                <c:pt idx="10">
                  <c:v>5</c:v>
                </c:pt>
                <c:pt idx="11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8972280"/>
        <c:axId val="428972672"/>
        <c:axId val="0"/>
      </c:bar3DChart>
      <c:catAx>
        <c:axId val="428972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8972672"/>
        <c:crosses val="autoZero"/>
        <c:auto val="1"/>
        <c:lblAlgn val="ctr"/>
        <c:lblOffset val="100"/>
        <c:noMultiLvlLbl val="0"/>
      </c:catAx>
      <c:valAx>
        <c:axId val="4289726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8972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0.16437</cdr:x>
      <cdr:y>0.13474</cdr:y>
    </cdr:from>
    <cdr:to>
      <cdr:x>0.54931</cdr:x>
      <cdr:y>0.17857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90575"/>
          <a:ext cx="3457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3,659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0.16543</cdr:x>
      <cdr:y>0.25812</cdr:y>
    </cdr:from>
    <cdr:to>
      <cdr:x>0.4878</cdr:x>
      <cdr:y>0.30032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514475"/>
          <a:ext cx="2895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3,734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0.16437</cdr:x>
      <cdr:y>0.31981</cdr:y>
    </cdr:from>
    <cdr:to>
      <cdr:x>0.50477</cdr:x>
      <cdr:y>0.36039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876425"/>
          <a:ext cx="30575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2,831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0.37987</cdr:y>
    </cdr:from>
    <cdr:to>
      <cdr:x>0.5334</cdr:x>
      <cdr:y>0.4237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228850"/>
          <a:ext cx="3314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2,558 </a:t>
          </a:r>
          <a:r>
            <a:rPr lang="en-US" sz="1000" i="1"/>
            <a:t>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0.16331</cdr:x>
      <cdr:y>0.44481</cdr:y>
    </cdr:from>
    <cdr:to>
      <cdr:x>0.49311</cdr:x>
      <cdr:y>0.48377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609850"/>
          <a:ext cx="2962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2,589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0.16437</cdr:x>
      <cdr:y>0.50812</cdr:y>
    </cdr:from>
    <cdr:to>
      <cdr:x>0.5281</cdr:x>
      <cdr:y>0.54708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981325"/>
          <a:ext cx="32670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2,261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0.56818</cdr:y>
    </cdr:from>
    <cdr:to>
      <cdr:x>0.50583</cdr:x>
      <cdr:y>0.60714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333750"/>
          <a:ext cx="3067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2,191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0.62987</cdr:y>
    </cdr:from>
    <cdr:to>
      <cdr:x>0.47932</cdr:x>
      <cdr:y>0.67208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695700"/>
          <a:ext cx="2828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1,887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0.16543</cdr:x>
      <cdr:y>0.69318</cdr:y>
    </cdr:from>
    <cdr:to>
      <cdr:x>0.47614</cdr:x>
      <cdr:y>0.73052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067175"/>
          <a:ext cx="27908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1,554 - </a:t>
          </a:r>
          <a:r>
            <a:rPr lang="en-US" sz="1000" i="1"/>
            <a:t>Average Year</a:t>
          </a:r>
          <a:r>
            <a:rPr lang="en-US" sz="1000" i="1" baseline="0"/>
            <a:t>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0.75487</cdr:y>
    </cdr:from>
    <cdr:to>
      <cdr:x>0.4878</cdr:x>
      <cdr:y>0.79383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429125"/>
          <a:ext cx="2905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1,447 </a:t>
          </a:r>
          <a:r>
            <a:rPr lang="en-US" sz="1000" i="1"/>
            <a:t>- Average Year Built </a:t>
          </a:r>
          <a:r>
            <a:rPr lang="en-US" sz="1000" b="1" i="1"/>
            <a:t>1983</a:t>
          </a:r>
        </a:p>
      </cdr:txBody>
    </cdr:sp>
  </cdr:relSizeAnchor>
  <cdr:relSizeAnchor xmlns:cdr="http://schemas.openxmlformats.org/drawingml/2006/chartDrawing">
    <cdr:from>
      <cdr:x>0.16543</cdr:x>
      <cdr:y>0.81656</cdr:y>
    </cdr:from>
    <cdr:to>
      <cdr:x>0.51538</cdr:x>
      <cdr:y>0.85714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791075"/>
          <a:ext cx="3143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1,303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0.16437</cdr:x>
      <cdr:y>0.87825</cdr:y>
    </cdr:from>
    <cdr:to>
      <cdr:x>0.54401</cdr:x>
      <cdr:y>0.92045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153025"/>
          <a:ext cx="3409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1,235</a:t>
          </a:r>
          <a:r>
            <a:rPr lang="en-US" sz="1000" i="1"/>
            <a:t> - Average Year Built </a:t>
          </a:r>
          <a:r>
            <a:rPr lang="en-US" sz="1000" b="1" i="1"/>
            <a:t>1977</a:t>
          </a:r>
        </a:p>
      </cdr:txBody>
    </cdr:sp>
  </cdr:relSizeAnchor>
  <cdr:relSizeAnchor xmlns:cdr="http://schemas.openxmlformats.org/drawingml/2006/chartDrawing">
    <cdr:from>
      <cdr:x>0.16437</cdr:x>
      <cdr:y>0.93994</cdr:y>
    </cdr:from>
    <cdr:to>
      <cdr:x>0.51432</cdr:x>
      <cdr:y>0.98701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514975"/>
          <a:ext cx="31432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1,269</a:t>
          </a:r>
          <a:r>
            <a:rPr lang="en-US" sz="1000" i="1" baseline="0"/>
            <a:t> - Average Year Built </a:t>
          </a:r>
          <a:r>
            <a:rPr lang="en-US" sz="1000" b="1" i="1" baseline="0"/>
            <a:t>1975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2017-01-24T17:30:00Z</dcterms:created>
  <dcterms:modified xsi:type="dcterms:W3CDTF">2017-01-24T17:55:00Z</dcterms:modified>
</cp:coreProperties>
</file>